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58" w:rsidRPr="00C53058" w:rsidRDefault="00C53058" w:rsidP="00C5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58">
        <w:rPr>
          <w:rFonts w:ascii="Times New Roman" w:eastAsia="Times New Roman" w:hAnsi="Times New Roman" w:cs="Times New Roman"/>
          <w:bCs/>
          <w:sz w:val="48"/>
          <w:lang w:eastAsia="ru-RU"/>
        </w:rPr>
        <w:t>С 1 сентября 2016 года  вводится ФГОС  для детей  с ОВЗ   </w:t>
      </w:r>
    </w:p>
    <w:p w:rsidR="00C53058" w:rsidRPr="00C53058" w:rsidRDefault="00C53058" w:rsidP="00C53058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Нормативная база и полезные материалы по ФГОС детей с ОВЗ</w:t>
      </w:r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настоящее  время </w:t>
      </w:r>
      <w:proofErr w:type="spellStart"/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России принято ряд нормативных документов по вопросам инклюзивного образования, ряд документов находятся пока в формате проектов. Это:</w:t>
      </w:r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hyperlink r:id="rId4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 xml:space="preserve">Концепция Федерального государственного образовательного стандарта для </w:t>
        </w:r>
        <w:proofErr w:type="gramStart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обучающихся</w:t>
        </w:r>
        <w:proofErr w:type="gramEnd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 xml:space="preserve"> с ограниченными возможностями здоровья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hyperlink r:id="rId5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государтвеннного</w:t>
        </w:r>
        <w:proofErr w:type="spellEnd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 xml:space="preserve"> образовательного стандарта образования </w:t>
        </w:r>
        <w:proofErr w:type="gramStart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обучающихся</w:t>
        </w:r>
        <w:proofErr w:type="gramEnd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 xml:space="preserve"> с умственной отсталостью (интеллектуальными нарушениями)»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hyperlink r:id="rId6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обучающихся</w:t>
        </w:r>
        <w:proofErr w:type="gramEnd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 xml:space="preserve"> с ограниченными возможностями здоровья»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hyperlink r:id="rId7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для глухих детей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hyperlink r:id="rId8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для слабослышащих и позднооглохших детей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hyperlink r:id="rId9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для слепых детей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hyperlink r:id="rId10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для слабовидящих детей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hyperlink r:id="rId11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для детей с тяжелыми нарушениями речи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hyperlink r:id="rId12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для детей с нарушением опорно-двигательного аппарата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hyperlink r:id="rId13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для детей с задержкой психического развития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hyperlink r:id="rId14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для умственно отсталых детей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</w:t>
      </w:r>
      <w:hyperlink r:id="rId15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 xml:space="preserve">для детей с расстройствами </w:t>
        </w:r>
        <w:proofErr w:type="spellStart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аутистического</w:t>
        </w:r>
        <w:proofErr w:type="spellEnd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 xml:space="preserve"> спектра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058" w:rsidRPr="00C53058" w:rsidRDefault="00C53058" w:rsidP="00C53058">
      <w:pPr>
        <w:shd w:val="clear" w:color="auto" w:fill="FFFFFF"/>
        <w:spacing w:after="187" w:line="3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16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Психолого-педагогическое сопровождение образовательного процесса</w:t>
        </w:r>
      </w:hyperlink>
    </w:p>
    <w:p w:rsidR="00C53058" w:rsidRPr="00C53058" w:rsidRDefault="00C53058" w:rsidP="00C53058">
      <w:pPr>
        <w:shd w:val="clear" w:color="auto" w:fill="FFFFFF"/>
        <w:spacing w:after="187" w:line="324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17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Федеральный закон №339-ФЗ</w:t>
        </w:r>
      </w:hyperlink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 ноября 2015 года «О внесении изменений в статьи 48 и 51 Градостроительного кодекса Российской Федерации».</w:t>
      </w:r>
    </w:p>
    <w:p w:rsidR="00C53058" w:rsidRPr="00C53058" w:rsidRDefault="00C53058" w:rsidP="00C53058">
      <w:pPr>
        <w:shd w:val="clear" w:color="auto" w:fill="FFFFFF"/>
        <w:spacing w:after="187" w:line="324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18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Федеральный закон №348-ФЗ</w:t>
        </w:r>
      </w:hyperlink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 ноября 2015 года «О внесении изменений в Федеральный закон «О дополнительных мерах государственной поддержки семей, имеющих детей»</w:t>
      </w:r>
    </w:p>
    <w:p w:rsidR="00C53058" w:rsidRPr="00C53058" w:rsidRDefault="00C53058" w:rsidP="00C53058">
      <w:pPr>
        <w:shd w:val="clear" w:color="auto" w:fill="FFFFFF"/>
        <w:spacing w:after="187" w:line="324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Ставропольского края от 16 октября 2015 г. №327-рп «</w:t>
      </w:r>
      <w:hyperlink r:id="rId19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Об организации работы по повышению значений показателей доступности для инвалидов объектов и услуг на территории Ставропольского края</w:t>
        </w:r>
      </w:hyperlink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3058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058" w:rsidRPr="00C53058" w:rsidRDefault="00C53058" w:rsidP="00C53058">
      <w:pPr>
        <w:shd w:val="clear" w:color="auto" w:fill="FFFFFF"/>
        <w:spacing w:after="187" w:line="324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20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Закон</w:t>
        </w:r>
      </w:hyperlink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Ставропольского края от 27 февраля 2008 г. № 7-кз "О внесении изменений в Закон Ставропольского края "Об обеспечении беспрепятственного доступа инвалидов и других </w:t>
      </w:r>
      <w:proofErr w:type="spellStart"/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информации, объектам социальной, транспортной и инженерной инфраструктур"</w:t>
      </w:r>
    </w:p>
    <w:p w:rsidR="00C53058" w:rsidRPr="00C53058" w:rsidRDefault="00C53058" w:rsidP="00C53058">
      <w:pPr>
        <w:shd w:val="clear" w:color="auto" w:fill="FFFFFF"/>
        <w:spacing w:after="187" w:line="324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21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Информация </w:t>
        </w:r>
      </w:hyperlink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реализации в Ставропольском крае  Указа Президента Российской Федерации от 28 декабря 2012 года №1688 «О некоторых мерах по реализации государственной политики в сфере защиты прав детей-сирот и детей, оставшихся без попечения родителей»</w:t>
      </w:r>
    </w:p>
    <w:p w:rsidR="00C53058" w:rsidRPr="00C53058" w:rsidRDefault="00C53058" w:rsidP="00C53058">
      <w:pPr>
        <w:shd w:val="clear" w:color="auto" w:fill="FFFFFF"/>
        <w:spacing w:after="187" w:line="324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22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Доклад</w:t>
        </w:r>
      </w:hyperlink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Уполномоченного по правам ребенка в Ставропольском крае</w:t>
      </w:r>
    </w:p>
    <w:p w:rsidR="00C53058" w:rsidRPr="00C53058" w:rsidRDefault="00C53058" w:rsidP="00C53058">
      <w:pPr>
        <w:shd w:val="clear" w:color="auto" w:fill="FFFFFF"/>
        <w:spacing w:after="187" w:line="324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23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Кон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цепция ран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не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го вы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яв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ле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ния де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тей с ог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ра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ничен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ны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ми воз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можнос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тя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ми здо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ровья (Про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ект)</w:t>
        </w:r>
      </w:hyperlink>
    </w:p>
    <w:p w:rsidR="00C53058" w:rsidRPr="00C53058" w:rsidRDefault="00C53058" w:rsidP="00C53058">
      <w:pPr>
        <w:shd w:val="clear" w:color="auto" w:fill="FFFFFF"/>
        <w:spacing w:after="187" w:line="324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24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Кон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цепция ин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клю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зив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но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го об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ра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зова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ния де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тей с ог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ра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ничен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ны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ми воз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можнос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тя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ми здо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ровья в Став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ро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поль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ском крае (Про</w:t>
        </w:r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softHyphen/>
          <w:t>ект)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hyperlink r:id="rId25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(проект, разработанный в рамках государственного контракта от 07.08.2013 № 07.027.11.0015)</w:t>
      </w:r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6.Проекты адаптированных основных общеобразовательных программ в редакции от 30.03.2015</w:t>
      </w:r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7.Письмо </w:t>
      </w:r>
      <w:proofErr w:type="spellStart"/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России от 28.10.2014 г. №. № ВК-2270/07 «О сохранении системы специализированного коррекционного образования»</w:t>
      </w:r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8.Письмо </w:t>
      </w:r>
      <w:proofErr w:type="spellStart"/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  <w:r w:rsidRP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proofErr w:type="gramEnd"/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.Правовое регулирование инклюзивного образования в Федеральном законе «Об образовании в РФ» — статья</w:t>
      </w:r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Источник:</w:t>
      </w:r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26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http://pedsovet.org/content/view/24927/251/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27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http://fgos-ovz.herzen.spb.ru/?page_id=574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28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Информационно-методический портал по инклюзивному</w:t>
        </w:r>
        <w:proofErr w:type="gramStart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 xml:space="preserve"> .</w:t>
        </w:r>
        <w:proofErr w:type="gramEnd"/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.</w:t>
        </w:r>
      </w:hyperlink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(http://edu-open.ru/Default.aspx?tabid=342)</w:t>
      </w:r>
    </w:p>
    <w:p w:rsidR="00C53058" w:rsidRPr="00C53058" w:rsidRDefault="00C53058" w:rsidP="00C5305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29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http://tass.ru/obschestvo/1986816</w:t>
        </w:r>
      </w:hyperlink>
    </w:p>
    <w:p w:rsidR="00C53058" w:rsidRPr="00C53058" w:rsidRDefault="00C53058" w:rsidP="00C53058">
      <w:pPr>
        <w:spacing w:after="150" w:line="240" w:lineRule="auto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 w:rsidRPr="00C530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hyperlink r:id="rId30" w:tgtFrame="_blank" w:history="1">
        <w:r w:rsidRPr="00C53058">
          <w:rPr>
            <w:rFonts w:ascii="Times New Roman" w:eastAsia="Times New Roman" w:hAnsi="Times New Roman" w:cs="Times New Roman"/>
            <w:bCs/>
            <w:sz w:val="36"/>
            <w:lang w:eastAsia="ru-RU"/>
          </w:rPr>
          <w:t>Концепция инклюзивного образования детей с ограниченными возможностями здоровья в Ставропольском крае</w:t>
        </w:r>
      </w:hyperlink>
    </w:p>
    <w:p w:rsidR="00C53058" w:rsidRPr="00C53058" w:rsidRDefault="00C53058" w:rsidP="00C53058">
      <w:pPr>
        <w:spacing w:after="150" w:line="240" w:lineRule="auto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hyperlink r:id="rId31" w:tgtFrame="_blank" w:history="1">
        <w:r w:rsidRPr="00C53058">
          <w:rPr>
            <w:rFonts w:ascii="Times New Roman" w:eastAsia="Times New Roman" w:hAnsi="Times New Roman" w:cs="Times New Roman"/>
            <w:bCs/>
            <w:sz w:val="36"/>
            <w:lang w:eastAsia="ru-RU"/>
          </w:rPr>
          <w:t>Подборка правовых материалов по ФГОС детей с ОВЗ</w:t>
        </w:r>
      </w:hyperlink>
    </w:p>
    <w:p w:rsidR="00C53058" w:rsidRPr="00C53058" w:rsidRDefault="00C53058" w:rsidP="00C53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hyperlink r:id="rId32" w:tgtFrame="_blank" w:history="1">
        <w:r w:rsidRPr="00C53058">
          <w:rPr>
            <w:rFonts w:ascii="Times New Roman" w:eastAsia="Times New Roman" w:hAnsi="Times New Roman" w:cs="Times New Roman"/>
            <w:bCs/>
            <w:sz w:val="28"/>
            <w:lang w:eastAsia="ru-RU"/>
          </w:rPr>
          <w:t>ПРАВОВОЕ РЕГУЛИРОВАНИЕ ИНКЛЮЗИВНОГО ОБРАЗОВАНИЯ   В ФЕДЕРАЛЬНОМ ЗАКОНЕ «ОБ ОБРАЗОВАНИИ В РФ» 2012 г.</w:t>
        </w:r>
      </w:hyperlink>
    </w:p>
    <w:p w:rsidR="00C53058" w:rsidRPr="00C53058" w:rsidRDefault="00C53058" w:rsidP="00C53058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C5305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 </w:t>
      </w:r>
    </w:p>
    <w:p w:rsidR="004D61D6" w:rsidRPr="00C53058" w:rsidRDefault="004D61D6">
      <w:pPr>
        <w:rPr>
          <w:rFonts w:ascii="Times New Roman" w:hAnsi="Times New Roman" w:cs="Times New Roman"/>
        </w:rPr>
      </w:pPr>
    </w:p>
    <w:sectPr w:rsidR="004D61D6" w:rsidRPr="00C53058" w:rsidSect="004D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53058"/>
    <w:rsid w:val="004D61D6"/>
    <w:rsid w:val="00C5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58"/>
    <w:rPr>
      <w:b/>
      <w:bCs/>
    </w:rPr>
  </w:style>
  <w:style w:type="paragraph" w:styleId="a4">
    <w:name w:val="Normal (Web)"/>
    <w:basedOn w:val="a"/>
    <w:uiPriority w:val="99"/>
    <w:semiHidden/>
    <w:unhideWhenUsed/>
    <w:rsid w:val="00C5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30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3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2.pdf" TargetMode="External"/><Relationship Id="rId13" Type="http://schemas.openxmlformats.org/officeDocument/2006/relationships/hyperlink" Target="http://minobr.gov-murman.ru/files/Lows/Gener_edu/OVZ/07.pdf" TargetMode="External"/><Relationship Id="rId18" Type="http://schemas.openxmlformats.org/officeDocument/2006/relationships/hyperlink" Target="http://www.stavminobr.ru/uploads/files/%D0%A2%D0%B8%D0%BC%D0%BE%D1%88%D0%B5%D0%BD%D0%BA%D0%BE/%D0%A2%D1%80%D0%B0%D1%82%D0%BD%D0%B8%D0%BA%D0%BE%D0%B2%D0%B0/%D0%B4%D0%BE%D0%BF%20%D0%BC%D0%B5%D1%80%D1%8B%20%D0%B3%D0%BE%D1%81.%D0%BF%D0%BE%D0%B4%D0%B4%D0%B5%D1%80%D0%B6%D0%BA%D0%B8%20%D1%81%D0%B5%D0%BC%D0%B5%D0%B9.pdf" TargetMode="External"/><Relationship Id="rId26" Type="http://schemas.openxmlformats.org/officeDocument/2006/relationships/hyperlink" Target="http://pedsovet.org/content/view/24927/25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vminobr.ru/uploads/files/1688.ra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inobr.gov-murman.ru/files/Lows/Gener_edu/OVZ/01.pdf" TargetMode="External"/><Relationship Id="rId12" Type="http://schemas.openxmlformats.org/officeDocument/2006/relationships/hyperlink" Target="http://minobr.gov-murman.ru/files/Lows/Gener_edu/OVZ/06.pdf" TargetMode="External"/><Relationship Id="rId17" Type="http://schemas.openxmlformats.org/officeDocument/2006/relationships/hyperlink" Target="http://www.stavminobr.ru/uploads/files/%D0%A2%D0%B8%D0%BC%D0%BE%D1%88%D0%B5%D0%BD%D0%BA%D0%BE/%D0%A2%D1%80%D0%B0%D1%82%D0%BD%D0%B8%D0%BA%D0%BE%D0%B2%D0%B0/Untitled.FR11.pdf" TargetMode="External"/><Relationship Id="rId25" Type="http://schemas.openxmlformats.org/officeDocument/2006/relationships/hyperlink" Target="http://minobr.gov-murman.ru/files/Recom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tavminobr.ru/uploads/files/%D0%B4%D0%B5%D1%8F%D1%82%D0%B5%D0%BB%D1%8C%D0%BD%D0%BE%D1%81%D1%82%D1%8C/%D0%94%D0%BB%D1%8F%20%D1%81%D0%B0%D0%B9%D1%82%D0%B0%20%D0%BC%D0%B8%D0%BD%D0%B8%D1%81%D1%82%D0%B5%D1%80%D1%81%D1%82%D0%B2%D0%B0.zip" TargetMode="External"/><Relationship Id="rId20" Type="http://schemas.openxmlformats.org/officeDocument/2006/relationships/hyperlink" Target="http://www.stavminobr.ru/uploads/files/%D0%A2%D0%B8%D0%BC%D0%BE%D1%88%D0%B5%D0%BD%D0%BA%D0%BE/%D0%A2%D1%80%D0%B0%D1%82%D0%BD%D0%B8%D0%BA%D0%BE%D0%B2%D0%B0/%D0%B7-%D0%BD%20%D0%BE%D0%B1%20%D0%BE%D0%B1%D0%B5%D1%81%D0%BF%D0%B5%D1%87%D0%B5%D0%BD%D0%B8%D0%B8%20%D0%B1%D0%B5%D1%81%D0%BF%D1%80%D0%B5%D0%BF%D1%8F%D1%82%D1%81%D1%82%D0%B2%D0%B5%D0%BD%D0%BD%D0%BE%D0%B3%D0%BE%20%D0%B4%D0%BE%D1%81%D1%82%D1%83%D0%BF%D0%B0%20%D0%B8%D0%BD%D0%B2%D0%B0%D0%BB%D0%B8%D0%B4%D0%BE%D0%B2.pdf" TargetMode="External"/><Relationship Id="rId29" Type="http://schemas.openxmlformats.org/officeDocument/2006/relationships/hyperlink" Target="http://tass.ru/obschestvo/1986816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gov-murman.ru/files/OVZ/Prikaz_%E2%84%96_1598_ot_19.12.2014.pdf" TargetMode="External"/><Relationship Id="rId11" Type="http://schemas.openxmlformats.org/officeDocument/2006/relationships/hyperlink" Target="http://minobr.gov-murman.ru/files/Lows/Gener_edu/OVZ/05.pdf" TargetMode="External"/><Relationship Id="rId24" Type="http://schemas.openxmlformats.org/officeDocument/2006/relationships/hyperlink" Target="http://www.stavminobr.ru/uploads/files/%D0%98%D0%BD%D0%BA%D0%BB%D1%8E%D0%B7%D0%B8%D0%B2%D0%BD%D0%BE%D0%B5%20%D0%BE%D0%B1%D1%80%D0%B0%D0%B7%D0%BE%D0%B2%D0%B0%D0%BD%D0%B8%D0%B5.doc" TargetMode="External"/><Relationship Id="rId32" Type="http://schemas.openxmlformats.org/officeDocument/2006/relationships/hyperlink" Target="https://yadi.sk/i/B63ExONkubsBJ" TargetMode="External"/><Relationship Id="rId5" Type="http://schemas.openxmlformats.org/officeDocument/2006/relationships/hyperlink" Target="http://minobr.gov-murman.ru/files/OVZ/Prikaz_%E2%84%96_1599_ot_19.12.2014.pdf" TargetMode="External"/><Relationship Id="rId15" Type="http://schemas.openxmlformats.org/officeDocument/2006/relationships/hyperlink" Target="http://minobr.gov-murman.ru/files/Lows/Gener_edu/OVZ/09.pdf" TargetMode="External"/><Relationship Id="rId23" Type="http://schemas.openxmlformats.org/officeDocument/2006/relationships/hyperlink" Target="http://www.stavminobr.ru/uploads/files/%D0%A0%D0%B0%D0%BD%D0%BD%D0%B5%D0%B5%20%D0%B2%D1%8B%D1%8F%D0%B2%D0%BB%D0%B5%D0%BD%D0%B8%D0%B5.doc" TargetMode="External"/><Relationship Id="rId28" Type="http://schemas.openxmlformats.org/officeDocument/2006/relationships/hyperlink" Target="https://www.google.ru/url?sa=t&amp;rct=j&amp;q=&amp;esrc=s&amp;source=web&amp;cd=44&amp;ved=0CCwQFjADOCg&amp;url=http%3A%2F%2Fedu-open.ru%2FDefault.aspx%3Ftabid%3D342&amp;ei=XvtKVdC4KcuqsQHm-IH4Aw&amp;usg=AFQjCNFZ4Qa0raqe77ChpDE5vFmf2bR83Q&amp;bvm=bv.92765956,d.bGg&amp;cad=rjt" TargetMode="External"/><Relationship Id="rId10" Type="http://schemas.openxmlformats.org/officeDocument/2006/relationships/hyperlink" Target="http://minobr.gov-murman.ru/files/Lows/Gener_edu/OVZ/04.pdf" TargetMode="External"/><Relationship Id="rId19" Type="http://schemas.openxmlformats.org/officeDocument/2006/relationships/hyperlink" Target="http://www.stavminobr.ru/uploads/files/%D0%A2%D0%B8%D0%BC%D0%BE%D1%88%D0%B5%D0%BD%D0%BA%D0%BE/%D0%A2%D1%80%D0%B0%D1%82%D0%BD%D0%B8%D0%BA%D0%BE%D0%B2%D0%B0/57750-24867371-24868157.jpeg" TargetMode="External"/><Relationship Id="rId31" Type="http://schemas.openxmlformats.org/officeDocument/2006/relationships/hyperlink" Target="https://yadi.sk/d/fUiYoAIrqRFrf" TargetMode="External"/><Relationship Id="rId4" Type="http://schemas.openxmlformats.org/officeDocument/2006/relationships/hyperlink" Target="http://minobr.gov-murman.ru/files/Lows/Gener_edu/OVZ/Cons_FGOS_OVZ.pdf" TargetMode="External"/><Relationship Id="rId9" Type="http://schemas.openxmlformats.org/officeDocument/2006/relationships/hyperlink" Target="http://minobr.gov-murman.ru/files/Lows/Gener_edu/OVZ/03.pdf" TargetMode="External"/><Relationship Id="rId14" Type="http://schemas.openxmlformats.org/officeDocument/2006/relationships/hyperlink" Target="http://minobr.gov-murman.ru/files/Lows/Gener_edu/OVZ/08.pdf" TargetMode="External"/><Relationship Id="rId22" Type="http://schemas.openxmlformats.org/officeDocument/2006/relationships/hyperlink" Target="http://www.stavminobr.ru/uploads/files/%D0%A2%D0%B8%D0%BC%D0%BE%D1%88%D0%B5%D0%BD%D0%BA%D0%BE/%D0%94%D0%BE%D0%BA%D0%BB%D0%B0%D0%B4%20%D0%A3%D0%BF%D0%BE%D0%BB%D0%BD%D0%BE%D0%BC%D0%BE%D1%87%D0%B5%D0%BD%D0%BD%D0%BE%D0%B3%D0%BE%20%D0%BF%D0%BE%20%D0%BF%D1%80%D0%B0%D0%B2%D0%B0%D0%BC%20%D1%80%D0%B5%D0%B1%D0%B5%D0%BD%D0%BA%D0%B0%D0%B2%20%D0%A1%D1%82%D0%B0%D0%B2%D1%80%D0%BE%D0%BF%D0%BE%D0%BB%D1%8C%D1%81%D0%BA%D0%BE%D0%BC%20%D0%BA%D1%80%D0%B0%D0%B5.doc" TargetMode="External"/><Relationship Id="rId27" Type="http://schemas.openxmlformats.org/officeDocument/2006/relationships/hyperlink" Target="http://fgos-ovz.herzen.spb.ru/?page_id=574" TargetMode="External"/><Relationship Id="rId30" Type="http://schemas.openxmlformats.org/officeDocument/2006/relationships/hyperlink" Target="https://yadi.sk/i/jU49d7W5qZs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1230</Words>
  <Characters>7013</Characters>
  <Application>Microsoft Office Word</Application>
  <DocSecurity>0</DocSecurity>
  <Lines>58</Lines>
  <Paragraphs>16</Paragraphs>
  <ScaleCrop>false</ScaleCrop>
  <Company>Microsoft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2017-04-19T08:40:00Z</dcterms:created>
  <dcterms:modified xsi:type="dcterms:W3CDTF">2017-04-19T08:42:00Z</dcterms:modified>
</cp:coreProperties>
</file>